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F0286F" w:rsidRDefault="00D71B05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F0286F">
              <w:rPr>
                <w:b/>
                <w:sz w:val="24"/>
                <w:szCs w:val="24"/>
              </w:rPr>
              <w:t>Medicina dojenja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71B05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t>4-6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71B05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Irena </w:t>
            </w:r>
            <w:proofErr w:type="spellStart"/>
            <w:r>
              <w:t>Zakarija</w:t>
            </w:r>
            <w:proofErr w:type="spellEnd"/>
            <w:r>
              <w:t xml:space="preserve"> – </w:t>
            </w:r>
            <w:proofErr w:type="spellStart"/>
            <w:r>
              <w:t>Grković</w:t>
            </w:r>
            <w:proofErr w:type="spellEnd"/>
            <w:r>
              <w:t xml:space="preserve">, dr. med, FRACGP, IBCLC, </w:t>
            </w:r>
            <w:proofErr w:type="spellStart"/>
            <w:r>
              <w:t>spec</w:t>
            </w:r>
            <w:proofErr w:type="spellEnd"/>
            <w:r>
              <w:t>. obit. med.</w:t>
            </w:r>
            <w:r w:rsidR="00F0286F">
              <w:t>, članica nacionalnog Povjerenstva za zaštitu i promicanje dojenja, predsjednica Hrvatske udruge IBCLC savjetnica za dojenje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639FB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71B05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Ivica </w:t>
            </w:r>
            <w:proofErr w:type="spellStart"/>
            <w:r>
              <w:t>Grković</w:t>
            </w:r>
            <w:proofErr w:type="spellEnd"/>
            <w:r>
              <w:t xml:space="preserve">, dr. med,  Blanka </w:t>
            </w:r>
            <w:proofErr w:type="spellStart"/>
            <w:r>
              <w:t>Labura</w:t>
            </w:r>
            <w:proofErr w:type="spellEnd"/>
            <w:r>
              <w:t xml:space="preserve">, dr. med., doc. dr. </w:t>
            </w:r>
            <w:proofErr w:type="spellStart"/>
            <w:r>
              <w:t>sc</w:t>
            </w:r>
            <w:proofErr w:type="spellEnd"/>
            <w:r>
              <w:t xml:space="preserve">. Ivana </w:t>
            </w:r>
            <w:proofErr w:type="spellStart"/>
            <w:r>
              <w:t>Mudnić</w:t>
            </w:r>
            <w:proofErr w:type="spellEnd"/>
            <w:r>
              <w:t xml:space="preserve">, dr. med, doc. 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proofErr w:type="spellStart"/>
            <w:r w:rsidRPr="00FB0EED">
              <w:t>Marion</w:t>
            </w:r>
            <w:proofErr w:type="spellEnd"/>
            <w:r w:rsidRPr="00FB0EED">
              <w:t xml:space="preserve"> Tomičić</w:t>
            </w:r>
            <w:r>
              <w:t xml:space="preserve">, dr. med, Tanja </w:t>
            </w:r>
            <w:proofErr w:type="spellStart"/>
            <w:r>
              <w:t>Mijačika</w:t>
            </w:r>
            <w:proofErr w:type="spellEnd"/>
            <w:r>
              <w:t xml:space="preserve">, dr. med., </w:t>
            </w:r>
            <w:proofErr w:type="spellStart"/>
            <w:r>
              <w:t>Željana</w:t>
            </w:r>
            <w:proofErr w:type="spellEnd"/>
            <w:r>
              <w:t xml:space="preserve"> Tomić, </w:t>
            </w:r>
            <w:proofErr w:type="spellStart"/>
            <w:r>
              <w:t>mag</w:t>
            </w:r>
            <w:proofErr w:type="spellEnd"/>
            <w:r>
              <w:t xml:space="preserve">. med. </w:t>
            </w:r>
            <w:proofErr w:type="spellStart"/>
            <w:r>
              <w:t>techn</w:t>
            </w:r>
            <w:proofErr w:type="spellEnd"/>
            <w:r>
              <w:t>., IBCLC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71B05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286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F0286F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71B05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639FB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639FB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71B05" w:rsidP="00CE0DB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Naučiti studente kako štititi, poticati i podržavati dojenje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71B0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Upisana 4. godina studija medicine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611405" w:rsidRDefault="00611405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611405">
              <w:rPr>
                <w:rFonts w:ascii="Arial" w:hAnsi="Arial" w:cs="Arial"/>
              </w:rPr>
              <w:t>Saznati k</w:t>
            </w:r>
            <w:r>
              <w:rPr>
                <w:rFonts w:ascii="Arial" w:hAnsi="Arial" w:cs="Arial"/>
              </w:rPr>
              <w:t>oji su rizici prehrane formulom</w:t>
            </w:r>
          </w:p>
          <w:p w:rsidR="00611405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Savladati</w:t>
            </w:r>
            <w:r w:rsidR="00611405">
              <w:rPr>
                <w:rFonts w:ascii="Arial" w:hAnsi="Arial" w:cs="Arial"/>
              </w:rPr>
              <w:t xml:space="preserve"> tehniku dojenja i </w:t>
            </w:r>
            <w:proofErr w:type="spellStart"/>
            <w:r w:rsidR="00611405">
              <w:rPr>
                <w:rFonts w:ascii="Arial" w:hAnsi="Arial" w:cs="Arial"/>
              </w:rPr>
              <w:t>izdajanja</w:t>
            </w:r>
            <w:proofErr w:type="spellEnd"/>
          </w:p>
          <w:p w:rsidR="00611405" w:rsidRDefault="00611405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Razumjeti fiziologiju laktacije te kako povećati količinu mlijeka i izazvati </w:t>
            </w:r>
            <w:proofErr w:type="spellStart"/>
            <w:r>
              <w:rPr>
                <w:rFonts w:ascii="Arial" w:hAnsi="Arial" w:cs="Arial"/>
              </w:rPr>
              <w:t>relaktaciju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9071A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Primijeniti znanje o lijekovima i dojenju u propisivanju lijekova</w:t>
            </w:r>
          </w:p>
          <w:p w:rsidR="00B9071A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se s inicijativom ˝Rodilišta prijatelji djece˝</w:t>
            </w:r>
          </w:p>
          <w:p w:rsidR="00B9071A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Naučiti kako prepoznati i liječiti najčešće probleme kod dojilja</w:t>
            </w:r>
          </w:p>
          <w:p w:rsidR="00B9071A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se sa službama u zajednici koje podržavaju dojilje</w:t>
            </w:r>
          </w:p>
          <w:p w:rsidR="00611405" w:rsidRPr="00611405" w:rsidRDefault="00B9071A" w:rsidP="0061140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Naučiti kako održati dojenje tijekom uvođenja dohrane </w:t>
            </w:r>
          </w:p>
          <w:p w:rsidR="00611405" w:rsidRPr="00962BDC" w:rsidRDefault="0061140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1140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prilogu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B9071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B9071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9D6230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9D6230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9D6230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6639FB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6639FB" w:rsidRPr="00962BDC">
              <w:rPr>
                <w:rFonts w:ascii="Arial" w:hAnsi="Arial" w:cs="Arial"/>
              </w:rPr>
            </w:r>
            <w:r w:rsidR="006639FB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6639FB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D623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Priprema slučaja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EA11C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t>Duško Mardešić i suradnici.</w:t>
            </w:r>
            <w:r w:rsidRPr="00BC242D">
              <w:t xml:space="preserve"> Pedijatrija</w:t>
            </w:r>
            <w:r>
              <w:t>.</w:t>
            </w:r>
            <w:r w:rsidRPr="00BC242D">
              <w:t xml:space="preserve"> </w:t>
            </w:r>
            <w:r>
              <w:rPr>
                <w:lang w:val="pl-PL"/>
              </w:rPr>
              <w:t>Školska knjiga, Zagreb, 2016</w:t>
            </w:r>
            <w:r w:rsidRPr="00AE4EBF">
              <w:rPr>
                <w:lang w:val="pl-PL"/>
              </w:rPr>
              <w:t>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A11C8" w:rsidRDefault="00EA11C8" w:rsidP="00EA11C8">
            <w:r>
              <w:t xml:space="preserve">Lawrence RA, Lawrence RM. </w:t>
            </w:r>
            <w:proofErr w:type="spellStart"/>
            <w:r>
              <w:t>Breastfeeding</w:t>
            </w:r>
            <w:proofErr w:type="spellEnd"/>
            <w:r>
              <w:t xml:space="preserve">: A </w:t>
            </w:r>
            <w:proofErr w:type="spellStart"/>
            <w:r>
              <w:t>Guide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>. Elsevier, Missouri, 2011.</w:t>
            </w:r>
          </w:p>
          <w:p w:rsidR="00294A89" w:rsidRPr="00962BDC" w:rsidRDefault="00EA11C8" w:rsidP="00EA11C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t xml:space="preserve">WHO. </w:t>
            </w:r>
            <w:proofErr w:type="spellStart"/>
            <w:r>
              <w:t>Infant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feeding</w:t>
            </w:r>
            <w:proofErr w:type="spellEnd"/>
            <w:r>
              <w:t xml:space="preserve">: Model </w:t>
            </w:r>
            <w:proofErr w:type="spellStart"/>
            <w:r>
              <w:t>Chapter</w:t>
            </w:r>
            <w:proofErr w:type="spellEnd"/>
            <w:r>
              <w:t xml:space="preserve"> for </w:t>
            </w:r>
            <w:proofErr w:type="spellStart"/>
            <w:r>
              <w:t>textbooks</w:t>
            </w:r>
            <w:proofErr w:type="spellEnd"/>
            <w:r>
              <w:t xml:space="preserve"> for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allied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 xml:space="preserve">. WHO, </w:t>
            </w:r>
            <w:proofErr w:type="spellStart"/>
            <w:r>
              <w:t>Geneva</w:t>
            </w:r>
            <w:proofErr w:type="spellEnd"/>
            <w:r>
              <w:t>, 2009.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EA11C8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B06E4">
              <w:rPr>
                <w:b/>
              </w:rPr>
              <w:t>Breastfeeding</w:t>
            </w:r>
            <w:proofErr w:type="spellEnd"/>
            <w:r w:rsidRPr="002B06E4">
              <w:rPr>
                <w:b/>
              </w:rPr>
              <w:t xml:space="preserve"> Medicine</w:t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EA11C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4-6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F0286F" w:rsidRDefault="00EA11C8" w:rsidP="00F0286F">
            <w:proofErr w:type="spellStart"/>
            <w:r>
              <w:t>Asst</w:t>
            </w:r>
            <w:proofErr w:type="spellEnd"/>
            <w:r>
              <w:t xml:space="preserve">. prof. Irena </w:t>
            </w:r>
            <w:proofErr w:type="spellStart"/>
            <w:r>
              <w:t>Zakarija-Grković</w:t>
            </w:r>
            <w:proofErr w:type="spellEnd"/>
            <w:r>
              <w:t xml:space="preserve">, MD, FRACGP, IBCLC, </w:t>
            </w:r>
            <w:proofErr w:type="spellStart"/>
            <w:r>
              <w:t>PhD</w:t>
            </w:r>
            <w:proofErr w:type="spellEnd"/>
            <w:r w:rsidR="00F0286F">
              <w:t xml:space="preserve">, </w:t>
            </w:r>
            <w:proofErr w:type="spellStart"/>
            <w:r w:rsidR="00F0286F">
              <w:t>Founding</w:t>
            </w:r>
            <w:proofErr w:type="spellEnd"/>
            <w:r w:rsidR="00F0286F">
              <w:t xml:space="preserve"> </w:t>
            </w:r>
            <w:proofErr w:type="spellStart"/>
            <w:r w:rsidR="00F0286F">
              <w:t>member</w:t>
            </w:r>
            <w:proofErr w:type="spellEnd"/>
            <w:r w:rsidR="00F0286F">
              <w:t xml:space="preserve">, Croatian National </w:t>
            </w:r>
            <w:proofErr w:type="spellStart"/>
            <w:r w:rsidR="00F0286F">
              <w:t>Breastfeeding</w:t>
            </w:r>
            <w:proofErr w:type="spellEnd"/>
            <w:r w:rsidR="00F0286F">
              <w:t xml:space="preserve"> </w:t>
            </w:r>
            <w:proofErr w:type="spellStart"/>
            <w:r w:rsidR="00F0286F">
              <w:t>Committee</w:t>
            </w:r>
            <w:proofErr w:type="spellEnd"/>
            <w:r w:rsidR="00F0286F">
              <w:t xml:space="preserve">, </w:t>
            </w:r>
            <w:proofErr w:type="spellStart"/>
            <w:r w:rsidR="00F0286F">
              <w:t>President</w:t>
            </w:r>
            <w:proofErr w:type="spellEnd"/>
            <w:r w:rsidR="00F0286F">
              <w:t xml:space="preserve">, Croatian </w:t>
            </w:r>
            <w:proofErr w:type="spellStart"/>
            <w:r w:rsidR="00F0286F">
              <w:t>Association</w:t>
            </w:r>
            <w:proofErr w:type="spellEnd"/>
            <w:r w:rsidR="00F0286F">
              <w:t xml:space="preserve"> </w:t>
            </w:r>
            <w:proofErr w:type="spellStart"/>
            <w:r w:rsidR="00F0286F">
              <w:t>of</w:t>
            </w:r>
            <w:proofErr w:type="spellEnd"/>
            <w:r w:rsidR="00F0286F">
              <w:t xml:space="preserve"> </w:t>
            </w:r>
            <w:proofErr w:type="spellStart"/>
            <w:r w:rsidR="00F0286F">
              <w:t>Lactation</w:t>
            </w:r>
            <w:proofErr w:type="spellEnd"/>
            <w:r w:rsidR="00F0286F">
              <w:t xml:space="preserve"> </w:t>
            </w:r>
            <w:proofErr w:type="spellStart"/>
            <w:r w:rsidR="00F0286F">
              <w:t>Consultants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EA11C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Prof. Ivica </w:t>
            </w:r>
            <w:proofErr w:type="spellStart"/>
            <w:r>
              <w:t>Grković</w:t>
            </w:r>
            <w:proofErr w:type="spellEnd"/>
            <w:r>
              <w:t xml:space="preserve">, MD, </w:t>
            </w:r>
            <w:proofErr w:type="spellStart"/>
            <w:r>
              <w:t>PhD</w:t>
            </w:r>
            <w:proofErr w:type="spellEnd"/>
            <w:r>
              <w:t xml:space="preserve">, Tanja </w:t>
            </w:r>
            <w:proofErr w:type="spellStart"/>
            <w:r>
              <w:t>Mijačika</w:t>
            </w:r>
            <w:proofErr w:type="spellEnd"/>
            <w:r>
              <w:t xml:space="preserve">, MD, </w:t>
            </w:r>
            <w:proofErr w:type="spellStart"/>
            <w:r>
              <w:t>Asst</w:t>
            </w:r>
            <w:proofErr w:type="spellEnd"/>
            <w:r>
              <w:t xml:space="preserve">. prof. Ivana </w:t>
            </w:r>
            <w:proofErr w:type="spellStart"/>
            <w:r>
              <w:t>Mudnić</w:t>
            </w:r>
            <w:proofErr w:type="spellEnd"/>
            <w:r>
              <w:t xml:space="preserve">, MD, </w:t>
            </w:r>
            <w:proofErr w:type="spellStart"/>
            <w:r>
              <w:t>PhD</w:t>
            </w:r>
            <w:proofErr w:type="spellEnd"/>
            <w:r>
              <w:t xml:space="preserve">, </w:t>
            </w:r>
            <w:proofErr w:type="spellStart"/>
            <w:r>
              <w:t>Asst</w:t>
            </w:r>
            <w:proofErr w:type="spellEnd"/>
            <w:r>
              <w:t xml:space="preserve">. prof. Anita Pavičić Bošnjak , MD, </w:t>
            </w:r>
            <w:proofErr w:type="spellStart"/>
            <w:r>
              <w:t>PhD</w:t>
            </w:r>
            <w:proofErr w:type="spellEnd"/>
            <w:r>
              <w:t xml:space="preserve">, IBCLC, </w:t>
            </w:r>
            <w:proofErr w:type="spellStart"/>
            <w:r>
              <w:t>Asst</w:t>
            </w:r>
            <w:proofErr w:type="spellEnd"/>
            <w:r>
              <w:t xml:space="preserve">. prof. </w:t>
            </w:r>
            <w:proofErr w:type="spellStart"/>
            <w:r>
              <w:t>Marion</w:t>
            </w:r>
            <w:proofErr w:type="spellEnd"/>
            <w:r>
              <w:t xml:space="preserve"> Tomičić, MD, </w:t>
            </w:r>
            <w:proofErr w:type="spellStart"/>
            <w:r>
              <w:t>PhD</w:t>
            </w:r>
            <w:proofErr w:type="spellEnd"/>
            <w:r>
              <w:t xml:space="preserve">, </w:t>
            </w:r>
            <w:proofErr w:type="spellStart"/>
            <w:r>
              <w:t>Željana</w:t>
            </w:r>
            <w:proofErr w:type="spellEnd"/>
            <w:r>
              <w:t xml:space="preserve"> Tomić, RN, IBCLC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EA11C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0286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F0286F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EA11C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EA11C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Enrolled into year 4 of the medical course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Become aware of the risks of formula feeding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 the technique of breastfeeding and expressing</w:t>
            </w:r>
            <w:r w:rsidR="00F0286F">
              <w:rPr>
                <w:rFonts w:ascii="Arial" w:hAnsi="Arial" w:cs="Arial"/>
                <w:sz w:val="20"/>
                <w:szCs w:val="20"/>
                <w:lang w:val="en-US"/>
              </w:rPr>
              <w:t xml:space="preserve"> breast milk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 the physiology of lactation and how to increase milk supply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Apply basic principles of pharmacology</w:t>
            </w:r>
            <w:r w:rsidR="00F0286F">
              <w:rPr>
                <w:rFonts w:ascii="Arial" w:hAnsi="Arial" w:cs="Arial"/>
                <w:sz w:val="20"/>
                <w:szCs w:val="20"/>
                <w:lang w:val="en-US"/>
              </w:rPr>
              <w:t xml:space="preserve"> in prescribing medication to breastfeeding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mothers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 about the Baby-Friendly Hospital Initiative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 how to recognize and treat common breastfeeding problems</w:t>
            </w:r>
          </w:p>
          <w:p w:rsid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Find o</w:t>
            </w:r>
            <w:r w:rsidR="00F0286F">
              <w:rPr>
                <w:rFonts w:ascii="Arial" w:hAnsi="Arial" w:cs="Arial"/>
                <w:sz w:val="20"/>
                <w:szCs w:val="20"/>
                <w:lang w:val="en-US"/>
              </w:rPr>
              <w:t>ut where to refer mothers for breastfeeding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 in the community</w:t>
            </w:r>
          </w:p>
          <w:p w:rsidR="00EA11C8" w:rsidRPr="00EA11C8" w:rsidRDefault="00EA11C8" w:rsidP="00EA11C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Discover the new </w:t>
            </w:r>
            <w:r w:rsidR="00F0286F">
              <w:rPr>
                <w:rFonts w:ascii="Arial" w:hAnsi="Arial" w:cs="Arial"/>
                <w:sz w:val="20"/>
                <w:szCs w:val="20"/>
                <w:lang w:val="en-US"/>
              </w:rPr>
              <w:t>principles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complementary feeding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3C4FF4" w:rsidRDefault="00EA11C8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Attached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EA11C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  <w:r w:rsidR="00EA11C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  <w:r w:rsidR="00EA11C8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AE071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EA11C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EA11C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AE071C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AE071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39FB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6639FB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639FB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639FB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EA11C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presentation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11C8" w:rsidRDefault="00EA11C8" w:rsidP="00EA11C8">
            <w:pPr>
              <w:ind w:right="360"/>
              <w:rPr>
                <w:lang w:val="en-US"/>
              </w:rPr>
            </w:pPr>
            <w:r>
              <w:t xml:space="preserve">WHO. </w:t>
            </w:r>
            <w:proofErr w:type="spellStart"/>
            <w:r>
              <w:t>Infant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feeding</w:t>
            </w:r>
            <w:proofErr w:type="spellEnd"/>
            <w:r>
              <w:t xml:space="preserve">: Model </w:t>
            </w:r>
            <w:proofErr w:type="spellStart"/>
            <w:r>
              <w:t>Chapter</w:t>
            </w:r>
            <w:proofErr w:type="spellEnd"/>
            <w:r>
              <w:t xml:space="preserve"> for </w:t>
            </w:r>
            <w:proofErr w:type="spellStart"/>
            <w:r>
              <w:t>textbooks</w:t>
            </w:r>
            <w:proofErr w:type="spellEnd"/>
            <w:r>
              <w:t xml:space="preserve"> for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allied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 xml:space="preserve">. WHO, </w:t>
            </w:r>
            <w:proofErr w:type="spellStart"/>
            <w:r>
              <w:t>Geneva</w:t>
            </w:r>
            <w:proofErr w:type="spellEnd"/>
            <w:r>
              <w:t>, 2009.</w:t>
            </w:r>
          </w:p>
          <w:p w:rsidR="00294A89" w:rsidRPr="00527A49" w:rsidRDefault="00294A8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639FB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A11C8" w:rsidRDefault="00EA11C8" w:rsidP="00EA11C8">
            <w:r>
              <w:t xml:space="preserve">Lawrence RA, Lawrence RM. </w:t>
            </w:r>
            <w:proofErr w:type="spellStart"/>
            <w:r>
              <w:t>Breastfeeding</w:t>
            </w:r>
            <w:proofErr w:type="spellEnd"/>
            <w:r>
              <w:t xml:space="preserve">: A </w:t>
            </w:r>
            <w:proofErr w:type="spellStart"/>
            <w:r>
              <w:t>Guide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>. Elsevier, Missouri, 2011.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6639F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5CA1383"/>
    <w:multiLevelType w:val="hybridMultilevel"/>
    <w:tmpl w:val="383601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0F84"/>
    <w:multiLevelType w:val="hybridMultilevel"/>
    <w:tmpl w:val="2FFE7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92116"/>
    <w:rsid w:val="00263CCF"/>
    <w:rsid w:val="00294A89"/>
    <w:rsid w:val="00611405"/>
    <w:rsid w:val="00654D36"/>
    <w:rsid w:val="006639FB"/>
    <w:rsid w:val="00674B02"/>
    <w:rsid w:val="009D6230"/>
    <w:rsid w:val="00A625B8"/>
    <w:rsid w:val="00AE071C"/>
    <w:rsid w:val="00B9071A"/>
    <w:rsid w:val="00BB2AFE"/>
    <w:rsid w:val="00D71B05"/>
    <w:rsid w:val="00DD310B"/>
    <w:rsid w:val="00EA11C8"/>
    <w:rsid w:val="00F0286F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4D5E-9C6F-4014-8185-0360C60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cp:lastPrinted>2017-11-20T15:00:00Z</cp:lastPrinted>
  <dcterms:created xsi:type="dcterms:W3CDTF">2017-12-20T08:18:00Z</dcterms:created>
  <dcterms:modified xsi:type="dcterms:W3CDTF">2017-12-20T08:18:00Z</dcterms:modified>
</cp:coreProperties>
</file>